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6A59" w14:textId="77777777" w:rsidR="00453D75" w:rsidRPr="00453D75" w:rsidRDefault="00453D75" w:rsidP="00453D75">
      <w:pPr>
        <w:keepNext/>
        <w:keepLines/>
        <w:spacing w:before="40" w:after="0" w:line="240" w:lineRule="auto"/>
        <w:outlineLvl w:val="1"/>
        <w:rPr>
          <w:rFonts w:ascii="Arial Black" w:eastAsia="Times New Roman" w:hAnsi="Arial Black" w:cs="Times New Roman"/>
          <w:color w:val="518621"/>
          <w:sz w:val="24"/>
          <w:szCs w:val="32"/>
        </w:rPr>
      </w:pPr>
      <w:r w:rsidRPr="00453D75">
        <w:rPr>
          <w:rFonts w:ascii="Arial Black" w:eastAsia="Times New Roman" w:hAnsi="Arial Black" w:cs="Times New Roman"/>
          <w:color w:val="518621"/>
          <w:sz w:val="24"/>
          <w:szCs w:val="32"/>
        </w:rPr>
        <w:t xml:space="preserve">Appendix 2. </w:t>
      </w:r>
    </w:p>
    <w:tbl>
      <w:tblPr>
        <w:tblStyle w:val="Ministrytable1"/>
        <w:tblW w:w="15021" w:type="dxa"/>
        <w:tblInd w:w="0" w:type="dxa"/>
        <w:tblLook w:val="04A0" w:firstRow="1" w:lastRow="0" w:firstColumn="1" w:lastColumn="0" w:noHBand="0" w:noVBand="1"/>
      </w:tblPr>
      <w:tblGrid>
        <w:gridCol w:w="723"/>
        <w:gridCol w:w="1561"/>
        <w:gridCol w:w="2154"/>
        <w:gridCol w:w="5650"/>
        <w:gridCol w:w="1304"/>
        <w:gridCol w:w="1928"/>
        <w:gridCol w:w="1701"/>
      </w:tblGrid>
      <w:tr w:rsidR="00453D75" w:rsidRPr="00453D75" w14:paraId="03DC9881" w14:textId="77777777" w:rsidTr="00453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21" w:type="dxa"/>
            <w:gridSpan w:val="7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6D58D47C" w14:textId="77777777" w:rsidR="00453D75" w:rsidRPr="00453D75" w:rsidRDefault="00453D75" w:rsidP="00453D75">
            <w:pPr>
              <w:spacing w:before="120" w:after="120"/>
              <w:jc w:val="center"/>
              <w:rPr>
                <w:rFonts w:eastAsia="Arial" w:cs="Times New Roman"/>
                <w:color w:val="FFFFFF"/>
                <w:sz w:val="24"/>
              </w:rPr>
            </w:pPr>
            <w:r w:rsidRPr="00453D75">
              <w:rPr>
                <w:rFonts w:eastAsia="Arial" w:cs="Arial"/>
                <w:color w:val="FFFFFF"/>
                <w:sz w:val="36"/>
                <w:szCs w:val="36"/>
              </w:rPr>
              <w:t>Criteria for Temporary COVID-19 Vaccine Medical Exemptions</w:t>
            </w:r>
          </w:p>
        </w:tc>
      </w:tr>
      <w:tr w:rsidR="00453D75" w:rsidRPr="00453D75" w14:paraId="504806DE" w14:textId="77777777" w:rsidTr="0045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40D33F4A" w14:textId="77777777" w:rsidR="00453D75" w:rsidRPr="00453D75" w:rsidRDefault="00453D75" w:rsidP="00453D75">
            <w:pPr>
              <w:spacing w:before="120" w:after="120"/>
              <w:rPr>
                <w:rFonts w:eastAsia="Arial" w:cs="Times New Roman"/>
                <w:color w:val="000000"/>
              </w:rPr>
            </w:pPr>
            <w:r w:rsidRPr="00453D75">
              <w:rPr>
                <w:rFonts w:eastAsia="Arial" w:cs="Times New Roman"/>
              </w:rPr>
              <w:t>Step</w:t>
            </w:r>
          </w:p>
        </w:tc>
        <w:tc>
          <w:tcPr>
            <w:tcW w:w="156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032FDD18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Vaccine</w:t>
            </w: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5E4181B6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Category</w:t>
            </w:r>
          </w:p>
        </w:tc>
        <w:tc>
          <w:tcPr>
            <w:tcW w:w="5650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121A1277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Criteria Details</w:t>
            </w:r>
          </w:p>
        </w:tc>
        <w:tc>
          <w:tcPr>
            <w:tcW w:w="130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0D432691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Select Criteria Present</w:t>
            </w:r>
          </w:p>
        </w:tc>
        <w:tc>
          <w:tcPr>
            <w:tcW w:w="1928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642B3927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Supporting Evidence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693C7B0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Select Exemption Categories</w:t>
            </w:r>
          </w:p>
        </w:tc>
      </w:tr>
      <w:tr w:rsidR="00453D75" w:rsidRPr="00453D75" w14:paraId="5FBF43C7" w14:textId="77777777" w:rsidTr="00453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763C5840" w14:textId="77777777" w:rsidR="00453D75" w:rsidRPr="00453D75" w:rsidRDefault="00453D75" w:rsidP="00453D75">
            <w:pPr>
              <w:spacing w:before="120" w:after="120"/>
              <w:rPr>
                <w:rFonts w:eastAsia="Arial" w:cs="Times New Roman"/>
                <w:color w:val="000000"/>
              </w:rPr>
            </w:pPr>
            <w:r w:rsidRPr="00453D75">
              <w:rPr>
                <w:rFonts w:eastAsia="Arial" w:cs="Times New Roman"/>
              </w:rPr>
              <w:t>1</w:t>
            </w:r>
          </w:p>
        </w:tc>
        <w:tc>
          <w:tcPr>
            <w:tcW w:w="1561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041274C8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All COVID-19 Vaccines</w:t>
            </w: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316D4ED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1A.</w:t>
            </w:r>
          </w:p>
          <w:p w14:paraId="2DF371BF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Segoe UI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COVID-19 Infection</w:t>
            </w:r>
          </w:p>
        </w:tc>
        <w:tc>
          <w:tcPr>
            <w:tcW w:w="5650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6F5F8A92" w14:textId="77777777" w:rsidR="00453D75" w:rsidRPr="00453D75" w:rsidRDefault="00453D75" w:rsidP="00453D75">
            <w:pPr>
              <w:spacing w:before="120" w:after="120"/>
              <w:ind w:left="360" w:hanging="36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 xml:space="preserve">PCR-confirmed SARS-CoV-2 infection until complete recovery from the acute illness. </w:t>
            </w:r>
          </w:p>
          <w:p w14:paraId="3F53E93E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Arial"/>
              </w:rPr>
            </w:pPr>
            <w:r w:rsidRPr="00453D75">
              <w:rPr>
                <w:rFonts w:eastAsia="Segoe UI Symbol" w:cs="Arial"/>
                <w:b/>
                <w:bCs/>
              </w:rPr>
              <w:t>Note:</w:t>
            </w:r>
            <w:r w:rsidRPr="00453D75">
              <w:rPr>
                <w:rFonts w:eastAsia="Segoe UI Symbol" w:cs="Arial"/>
              </w:rPr>
              <w:t xml:space="preserve"> Chronic symptoms following COVID-19 ("Long COVID”) is not a contraindication to COVID-19 vaccine but does warrant a clinical discussion with the patient regarding the benefits and risks.</w:t>
            </w:r>
          </w:p>
        </w:tc>
        <w:tc>
          <w:tcPr>
            <w:tcW w:w="130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1127C013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Segoe UI"/>
              </w:rPr>
            </w:pPr>
          </w:p>
        </w:tc>
        <w:tc>
          <w:tcPr>
            <w:tcW w:w="1928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3D00567E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PCR result</w:t>
            </w:r>
          </w:p>
          <w:p w14:paraId="51030573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7BF4F945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Letter of support from their general practitioner/nurse practitioner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000BCCDF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1A 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4A2ADD68" w14:textId="77777777" w:rsidTr="0045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47980F0C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2F861A19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46A409A6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 xml:space="preserve">1B. </w:t>
            </w:r>
          </w:p>
          <w:p w14:paraId="1E12F39B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Segoe UI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Serious Adverse Event to previous dose</w:t>
            </w:r>
          </w:p>
        </w:tc>
        <w:tc>
          <w:tcPr>
            <w:tcW w:w="5650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8185407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 xml:space="preserve">Serious adverse event attributed to a previous dose of the same COVID-19 vaccine with no other cause identified. </w:t>
            </w:r>
          </w:p>
          <w:p w14:paraId="385C7EC3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An adverse event is considered serious for the purposes of these criteria if it:</w:t>
            </w:r>
          </w:p>
          <w:p w14:paraId="4F77E019" w14:textId="77777777" w:rsidR="00453D75" w:rsidRPr="00453D75" w:rsidRDefault="00453D75" w:rsidP="00453D75">
            <w:pPr>
              <w:numPr>
                <w:ilvl w:val="2"/>
                <w:numId w:val="0"/>
              </w:numPr>
              <w:spacing w:after="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Requires in-patient hospitalisation or prolongation of existing hospitalisation OR results in persistent or significant disability/ incapacity.</w:t>
            </w:r>
          </w:p>
          <w:p w14:paraId="44DCF014" w14:textId="77777777" w:rsidR="00453D75" w:rsidRPr="00453D75" w:rsidRDefault="00453D75" w:rsidP="00453D75">
            <w:pPr>
              <w:spacing w:after="0" w:line="240" w:lineRule="auto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AND</w:t>
            </w:r>
          </w:p>
          <w:p w14:paraId="6AF316AA" w14:textId="77777777" w:rsidR="00453D75" w:rsidRPr="00453D75" w:rsidRDefault="00453D75" w:rsidP="00453D75">
            <w:pPr>
              <w:numPr>
                <w:ilvl w:val="2"/>
                <w:numId w:val="0"/>
              </w:numPr>
              <w:spacing w:after="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Has been reported to CARM.</w:t>
            </w:r>
          </w:p>
          <w:p w14:paraId="0AB96B13" w14:textId="77777777" w:rsidR="00453D75" w:rsidRPr="00453D75" w:rsidRDefault="00453D75" w:rsidP="00453D75">
            <w:pPr>
              <w:spacing w:after="0" w:line="240" w:lineRule="auto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AND</w:t>
            </w:r>
          </w:p>
          <w:p w14:paraId="064D805D" w14:textId="77777777" w:rsidR="00453D75" w:rsidRPr="00453D75" w:rsidRDefault="00453D75" w:rsidP="00453D75">
            <w:pPr>
              <w:numPr>
                <w:ilvl w:val="2"/>
                <w:numId w:val="0"/>
              </w:numPr>
              <w:spacing w:after="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Has been determined following review by, and/or on the opinion of, a relevant medical specialist to be associated with a risk of recurrence of the serious adverse event if another dose of the same vaccine is given.</w:t>
            </w:r>
          </w:p>
        </w:tc>
        <w:tc>
          <w:tcPr>
            <w:tcW w:w="130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664215B2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□</w:t>
            </w:r>
          </w:p>
          <w:p w14:paraId="10474A6C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</w:p>
          <w:p w14:paraId="19FED546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</w:p>
          <w:p w14:paraId="60488F35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</w:p>
          <w:p w14:paraId="5AAAC79C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□</w:t>
            </w:r>
          </w:p>
          <w:p w14:paraId="64B87FF7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</w:p>
          <w:p w14:paraId="15120DD6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□</w:t>
            </w:r>
          </w:p>
          <w:p w14:paraId="70A97BD1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</w:p>
          <w:p w14:paraId="31000028" w14:textId="77777777" w:rsidR="00453D75" w:rsidRPr="00453D75" w:rsidRDefault="00453D75" w:rsidP="00453D75">
            <w:pPr>
              <w:spacing w:before="120" w:after="120"/>
              <w:ind w:left="232" w:hanging="23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□</w:t>
            </w:r>
          </w:p>
        </w:tc>
        <w:tc>
          <w:tcPr>
            <w:tcW w:w="1928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6812C27D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sz w:val="24"/>
                <w:szCs w:val="24"/>
              </w:rPr>
            </w:pPr>
            <w:r w:rsidRPr="00453D75">
              <w:rPr>
                <w:rFonts w:eastAsia="Arial" w:cs="Times New Roman"/>
              </w:rPr>
              <w:t>CARM report</w:t>
            </w:r>
          </w:p>
          <w:p w14:paraId="32BC2BF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Discharge summary</w:t>
            </w:r>
          </w:p>
          <w:p w14:paraId="77EECA6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Letter of support from the medical specialist within the relevant scope practice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1ED73240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40AF858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28A1B846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5F272C6B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7CE000A6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3885E335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036A2852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1A9990E2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1057DF55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</w:p>
          <w:p w14:paraId="161F8052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lastRenderedPageBreak/>
              <w:t xml:space="preserve">1B. 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  <w:r w:rsidRPr="00453D75">
              <w:rPr>
                <w:rFonts w:ascii="Calibri" w:eastAsia="Arial" w:hAnsi="Calibri" w:cs="Calibri"/>
                <w:b/>
                <w:bCs/>
              </w:rPr>
              <w:t xml:space="preserve"> </w:t>
            </w:r>
          </w:p>
          <w:p w14:paraId="518A855B" w14:textId="77777777" w:rsidR="00453D75" w:rsidRPr="00453D75" w:rsidRDefault="00453D75" w:rsidP="00453D75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</w:rPr>
            </w:pPr>
            <w:r w:rsidRPr="00453D75">
              <w:rPr>
                <w:rFonts w:ascii="Calibri" w:eastAsia="Arial" w:hAnsi="Calibri" w:cs="Calibri"/>
              </w:rPr>
              <w:t>(</w:t>
            </w:r>
            <w:r w:rsidRPr="00453D75">
              <w:rPr>
                <w:rFonts w:ascii="Calibri" w:eastAsia="Arial" w:hAnsi="Calibri" w:cs="Calibri"/>
                <w:sz w:val="20"/>
              </w:rPr>
              <w:t>4 of 4 criteria required)</w:t>
            </w:r>
          </w:p>
        </w:tc>
      </w:tr>
      <w:tr w:rsidR="00453D75" w:rsidRPr="00453D75" w14:paraId="65D7CD92" w14:textId="77777777" w:rsidTr="00453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697CC774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72FCA3D3" w14:textId="77777777" w:rsidR="00453D75" w:rsidRPr="00453D75" w:rsidRDefault="00453D75" w:rsidP="00453D7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6125CB10" w14:textId="77777777" w:rsidR="00453D75" w:rsidRPr="00453D75" w:rsidRDefault="00453D75" w:rsidP="00453D7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83" w:type="dxa"/>
            <w:gridSpan w:val="4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01EC16EF" w14:textId="0FAD611E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Examples of serious AEFIs may include but are not limited to a medically significant illness (</w:t>
            </w:r>
            <w:r w:rsidRPr="00453D75">
              <w:rPr>
                <w:rFonts w:eastAsia="Segoe UI Symbol" w:cs="Arial"/>
              </w:rPr>
              <w:t>e.g.</w:t>
            </w:r>
            <w:r w:rsidRPr="00453D75">
              <w:rPr>
                <w:rFonts w:eastAsia="Segoe UI Symbol" w:cs="Arial"/>
              </w:rPr>
              <w:t>, immune thrombocytopenia purpura (ITP), myocarditis, potentially life-threatening events (</w:t>
            </w:r>
            <w:r w:rsidRPr="00453D75">
              <w:rPr>
                <w:rFonts w:eastAsia="Segoe UI Symbol" w:cs="Arial"/>
              </w:rPr>
              <w:t>e.g.</w:t>
            </w:r>
            <w:r w:rsidRPr="00453D75">
              <w:rPr>
                <w:rFonts w:eastAsia="Segoe UI Symbol" w:cs="Arial"/>
              </w:rPr>
              <w:t>, anaphylaxis), severe ME/CFS, or persistent or significant disability (</w:t>
            </w:r>
            <w:r w:rsidRPr="00453D75">
              <w:rPr>
                <w:rFonts w:eastAsia="Segoe UI Symbol" w:cs="Arial"/>
              </w:rPr>
              <w:t>e.g.</w:t>
            </w:r>
            <w:r w:rsidRPr="00453D75">
              <w:rPr>
                <w:rFonts w:eastAsia="Segoe UI Symbol" w:cs="Arial"/>
              </w:rPr>
              <w:t>, Guillain-Barré Syndrome). These reactions do not include common expected local or systemic reactions known to occur within the first few days after vaccination.</w:t>
            </w:r>
          </w:p>
          <w:p w14:paraId="59387470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Note: If a serious adverse event to a previous dose of a COVID-19 vaccine is used as a reason for the exemption, then this will require a letter of support from the relevant medical specialist.</w:t>
            </w:r>
          </w:p>
        </w:tc>
      </w:tr>
      <w:tr w:rsidR="00453D75" w:rsidRPr="00453D75" w14:paraId="64841537" w14:textId="77777777" w:rsidTr="0045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22F64590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5CD771E3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03903BB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1C.</w:t>
            </w:r>
          </w:p>
          <w:p w14:paraId="3650F6D9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Segoe UI"/>
                <w:b/>
                <w:bCs/>
              </w:rPr>
            </w:pPr>
            <w:r w:rsidRPr="00453D75">
              <w:rPr>
                <w:rFonts w:eastAsia="Arial" w:cs="Arial"/>
                <w:b/>
                <w:bCs/>
              </w:rPr>
              <w:t>Unable to tolerate administration due to risk to self or others.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B1ABB79" w14:textId="4436206F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Unable to tolerate vaccine administration with resulting risk to themselves or others (</w:t>
            </w:r>
            <w:r w:rsidRPr="00453D75">
              <w:rPr>
                <w:rFonts w:eastAsia="Segoe UI Symbol" w:cs="Arial"/>
              </w:rPr>
              <w:t>e.g.</w:t>
            </w:r>
            <w:r w:rsidRPr="00453D75">
              <w:rPr>
                <w:rFonts w:eastAsia="Segoe UI Symbol" w:cs="Arial"/>
              </w:rPr>
              <w:t>, due to severe neurodevelopmental condition such as autistic spectrum disorder).</w:t>
            </w:r>
          </w:p>
          <w:p w14:paraId="2B96E63A" w14:textId="77777777" w:rsidR="00453D75" w:rsidRPr="00453D75" w:rsidRDefault="00453D75" w:rsidP="00453D75">
            <w:pPr>
              <w:spacing w:before="120" w:after="120"/>
              <w:ind w:left="23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This may warrant a temporary exemption (maximum four weeks) while additional resources and support to facilitate a safe administration of a second dose are arranged.</w:t>
            </w:r>
          </w:p>
        </w:tc>
        <w:tc>
          <w:tcPr>
            <w:tcW w:w="1928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70B0DAB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Letter of support from a medical specialist within the relevant scope practice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E1847B7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 xml:space="preserve">1C. 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29F8401C" w14:textId="77777777" w:rsidTr="00453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A2EC1BD" w14:textId="77777777" w:rsidR="00453D75" w:rsidRPr="00453D75" w:rsidRDefault="00453D75" w:rsidP="00453D75">
            <w:pPr>
              <w:spacing w:before="120" w:after="12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2</w:t>
            </w:r>
          </w:p>
        </w:tc>
        <w:tc>
          <w:tcPr>
            <w:tcW w:w="1561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2ECB3293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Pfizer Vaccine</w:t>
            </w: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445FECBF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2A.</w:t>
            </w:r>
          </w:p>
          <w:p w14:paraId="2F0A2FD5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Anaphylaxis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4D9CD0E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Anaphylaxis to the first dose of the vaccine or known severe allergy to the excipients of the vaccine as per the datasheet provided to Medsafe.</w:t>
            </w:r>
          </w:p>
          <w:p w14:paraId="229C614A" w14:textId="77777777" w:rsidR="00453D75" w:rsidRPr="00453D75" w:rsidRDefault="00453D75" w:rsidP="00453D75">
            <w:pPr>
              <w:spacing w:before="120" w:after="120"/>
              <w:ind w:left="232" w:hanging="2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This criterion will be removed as an exemption when there is an alternative vaccine available in New Zealand.</w:t>
            </w:r>
          </w:p>
          <w:p w14:paraId="644D0722" w14:textId="77777777" w:rsidR="00453D75" w:rsidRPr="00453D75" w:rsidRDefault="00453D75" w:rsidP="00453D75">
            <w:pPr>
              <w:spacing w:before="120" w:after="120"/>
              <w:ind w:left="232" w:hanging="23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Many of these individuals will be able to be safely vaccinated in a controlled environment, and we recommend clinical immunologist/specialist assessment.</w:t>
            </w:r>
          </w:p>
        </w:tc>
        <w:tc>
          <w:tcPr>
            <w:tcW w:w="1928" w:type="dxa"/>
            <w:vMerge w:val="restart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7A17867A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CARM report</w:t>
            </w:r>
          </w:p>
          <w:p w14:paraId="738F026F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Discharge summary</w:t>
            </w:r>
          </w:p>
          <w:p w14:paraId="505D4FF0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</w:rPr>
              <w:t>Letter of support from a medical specialist within the relevant scope practice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26D08E85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 xml:space="preserve">2A. 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045BB958" w14:textId="77777777" w:rsidTr="0045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33C04A10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72E6241F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0204B11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2B. </w:t>
            </w:r>
          </w:p>
          <w:p w14:paraId="0909EA77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Myocarditis / Pericarditis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C74926D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Myocarditis/pericarditis following the first dose of the vaccine.</w:t>
            </w: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7F223D18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F8ECD02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>2B.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3F8A4112" w14:textId="77777777" w:rsidTr="00453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4DE222DC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77602D1B" w14:textId="77777777" w:rsidR="00453D75" w:rsidRPr="00453D75" w:rsidRDefault="00453D75" w:rsidP="00453D7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FAF672F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2C. </w:t>
            </w:r>
          </w:p>
          <w:p w14:paraId="47165203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Inflammatory Cardiac Illness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E55120F" w14:textId="34B69CD1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 xml:space="preserve">Inflammatory cardiac illness within the past 6 months including: acute myocarditis, pericarditis, endocarditis, acute rheumatic </w:t>
            </w:r>
            <w:proofErr w:type="gramStart"/>
            <w:r w:rsidRPr="00453D75">
              <w:rPr>
                <w:rFonts w:eastAsia="Segoe UI Symbol" w:cs="Arial"/>
              </w:rPr>
              <w:t>fever</w:t>
            </w:r>
            <w:proofErr w:type="gramEnd"/>
            <w:r w:rsidRPr="00453D75">
              <w:rPr>
                <w:rFonts w:eastAsia="Segoe UI Symbol" w:cs="Arial"/>
              </w:rPr>
              <w:t xml:space="preserve"> or acute rheumatic heart disease (</w:t>
            </w:r>
            <w:r w:rsidRPr="00453D75">
              <w:rPr>
                <w:rFonts w:eastAsia="Segoe UI Symbol" w:cs="Arial"/>
              </w:rPr>
              <w:t>i.e.</w:t>
            </w:r>
            <w:r w:rsidRPr="00453D75">
              <w:rPr>
                <w:rFonts w:eastAsia="Segoe UI Symbol" w:cs="Arial"/>
              </w:rPr>
              <w:t>, with active myocardial inflammation).</w:t>
            </w: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60A2A28A" w14:textId="77777777" w:rsidR="00453D75" w:rsidRPr="00453D75" w:rsidRDefault="00453D75" w:rsidP="00453D75">
            <w:pPr>
              <w:spacing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5A4260D9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>2C.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43B29DF3" w14:textId="77777777" w:rsidTr="00453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35EF1A05" w14:textId="77777777" w:rsidR="00453D75" w:rsidRPr="00453D75" w:rsidRDefault="00453D75" w:rsidP="00453D75">
            <w:pPr>
              <w:spacing w:after="0"/>
              <w:rPr>
                <w:rFonts w:ascii="Segoe UI" w:eastAsia="Arial" w:hAnsi="Segoe UI" w:cs="Segoe U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30C5FA6C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624DB73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2D. </w:t>
            </w:r>
          </w:p>
          <w:p w14:paraId="3F0398EE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Acute Decompensated Heart Failure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080EA740" w14:textId="77777777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 xml:space="preserve">Acute decompensated heart failure. </w:t>
            </w:r>
          </w:p>
          <w:p w14:paraId="3532EBFC" w14:textId="77777777" w:rsidR="00453D75" w:rsidRPr="00453D75" w:rsidRDefault="00453D75" w:rsidP="00453D75">
            <w:pPr>
              <w:spacing w:before="120" w:after="120"/>
              <w:ind w:left="232" w:hanging="2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Although myocarditis and/or pericarditis is very rare following vaccination, if such an event were to occur, then it may exacerbate a patient’s pre-existing heart failure.</w:t>
            </w:r>
          </w:p>
        </w:tc>
        <w:tc>
          <w:tcPr>
            <w:tcW w:w="0" w:type="auto"/>
            <w:vMerge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  <w:hideMark/>
          </w:tcPr>
          <w:p w14:paraId="7D94030D" w14:textId="77777777" w:rsidR="00453D75" w:rsidRPr="00453D75" w:rsidRDefault="00453D75" w:rsidP="00453D75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Arial" w:hAnsi="Segoe UI" w:cs="Segoe U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2460821" w14:textId="77777777" w:rsidR="00453D75" w:rsidRPr="00453D75" w:rsidRDefault="00453D75" w:rsidP="00453D7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>2D.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  <w:tr w:rsidR="00453D75" w:rsidRPr="00453D75" w14:paraId="319E6C13" w14:textId="77777777" w:rsidTr="00453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6624374" w14:textId="77777777" w:rsidR="00453D75" w:rsidRPr="00453D75" w:rsidRDefault="00453D75" w:rsidP="00453D75">
            <w:pPr>
              <w:spacing w:before="120" w:after="12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72C27A40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>Trial Vaccine</w:t>
            </w:r>
          </w:p>
        </w:tc>
        <w:tc>
          <w:tcPr>
            <w:tcW w:w="2154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29D8E389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3A. </w:t>
            </w:r>
          </w:p>
          <w:p w14:paraId="009DC309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eastAsia="Arial" w:cs="Times New Roman"/>
                <w:b/>
                <w:bCs/>
              </w:rPr>
              <w:t xml:space="preserve">Non-Placebo participant in a vaccine trial </w:t>
            </w:r>
          </w:p>
        </w:tc>
        <w:tc>
          <w:tcPr>
            <w:tcW w:w="6954" w:type="dxa"/>
            <w:gridSpan w:val="2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3F4FCF97" w14:textId="22CDB8FD" w:rsidR="00453D75" w:rsidRPr="00453D75" w:rsidRDefault="00453D75" w:rsidP="00453D75">
            <w:pPr>
              <w:spacing w:before="120" w:after="120"/>
              <w:ind w:left="232" w:hanging="232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Segoe UI Symbol" w:cs="Arial"/>
              </w:rPr>
            </w:pPr>
            <w:r w:rsidRPr="00453D75">
              <w:rPr>
                <w:rFonts w:eastAsia="Segoe UI Symbol" w:cs="Arial"/>
              </w:rPr>
              <w:t>Those who are confirmed as having the vaccine (</w:t>
            </w:r>
            <w:r w:rsidRPr="00453D75">
              <w:rPr>
                <w:rFonts w:eastAsia="Segoe UI Symbol" w:cs="Arial"/>
              </w:rPr>
              <w:t>i.e.</w:t>
            </w:r>
            <w:r w:rsidRPr="00453D75">
              <w:rPr>
                <w:rFonts w:eastAsia="Segoe UI Symbol" w:cs="Arial"/>
              </w:rPr>
              <w:t xml:space="preserve">, non-placebo) in any COVID-19 vaccine trial in Aotearoa New Zealand (for example, the Valneva COVID-19 vaccine trial NCT04956224). </w:t>
            </w:r>
          </w:p>
        </w:tc>
        <w:tc>
          <w:tcPr>
            <w:tcW w:w="1928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73DBAAD8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</w:rPr>
            </w:pPr>
            <w:r w:rsidRPr="00453D75">
              <w:rPr>
                <w:rFonts w:eastAsia="Arial" w:cs="Times New Roman"/>
              </w:rPr>
              <w:t>Letter of confirmation from the Vaccine Trial Clinical Lead</w:t>
            </w:r>
          </w:p>
        </w:tc>
        <w:tc>
          <w:tcPr>
            <w:tcW w:w="1701" w:type="dxa"/>
            <w:tcBorders>
              <w:top w:val="single" w:sz="4" w:space="0" w:color="A8A8A8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hideMark/>
          </w:tcPr>
          <w:p w14:paraId="4D3627B7" w14:textId="77777777" w:rsidR="00453D75" w:rsidRPr="00453D75" w:rsidRDefault="00453D75" w:rsidP="00453D75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Arial" w:cs="Times New Roman"/>
                <w:b/>
                <w:bCs/>
              </w:rPr>
            </w:pPr>
            <w:r w:rsidRPr="00453D75">
              <w:rPr>
                <w:rFonts w:ascii="Calibri" w:eastAsia="Arial" w:hAnsi="Calibri" w:cs="Calibri"/>
                <w:b/>
                <w:bCs/>
              </w:rPr>
              <w:t xml:space="preserve">3A. </w:t>
            </w:r>
            <w:r w:rsidRPr="00453D75">
              <w:rPr>
                <w:rFonts w:ascii="Calibri" w:eastAsia="Arial" w:hAnsi="Calibri" w:cs="Calibri"/>
                <w:b/>
                <w:bCs/>
                <w:sz w:val="40"/>
                <w:szCs w:val="40"/>
              </w:rPr>
              <w:t>□</w:t>
            </w:r>
          </w:p>
        </w:tc>
      </w:tr>
    </w:tbl>
    <w:p w14:paraId="2885665B" w14:textId="77777777" w:rsidR="00A70E50" w:rsidRDefault="00A70E50"/>
    <w:sectPr w:rsidR="00A70E50" w:rsidSect="00453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53D75"/>
    <w:rsid w:val="00453D75"/>
    <w:rsid w:val="00A70E50"/>
    <w:rsid w:val="00E0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8A641"/>
  <w15:chartTrackingRefBased/>
  <w15:docId w15:val="{0D4422C0-B258-414A-9710-382215D6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inistrytable1">
    <w:name w:val="Ministry table1"/>
    <w:basedOn w:val="TableNormal"/>
    <w:uiPriority w:val="46"/>
    <w:rsid w:val="00453D75"/>
    <w:pPr>
      <w:spacing w:before="60" w:after="60" w:line="280" w:lineRule="atLeast"/>
    </w:pPr>
    <w:rPr>
      <w:rFonts w:ascii="Georgia" w:hAnsi="Georgia"/>
      <w:sz w:val="18"/>
      <w:szCs w:val="20"/>
      <w:lang w:val="en-GB"/>
    </w:rPr>
    <w:tblPr>
      <w:tblStyleRowBandSize w:val="1"/>
      <w:tblStyleColBandSize w:val="1"/>
      <w:tblInd w:w="0" w:type="nil"/>
      <w:tblBorders>
        <w:top w:val="single" w:sz="4" w:space="0" w:color="A8A8A8"/>
        <w:left w:val="single" w:sz="4" w:space="0" w:color="A8A8A8"/>
        <w:bottom w:val="single" w:sz="4" w:space="0" w:color="A8A8A8"/>
        <w:right w:val="single" w:sz="4" w:space="0" w:color="A8A8A8"/>
        <w:insideH w:val="single" w:sz="4" w:space="0" w:color="A8A8A8"/>
        <w:insideV w:val="single" w:sz="4" w:space="0" w:color="A8A8A8"/>
      </w:tblBorders>
    </w:tblPr>
    <w:tblStylePr w:type="firstRow">
      <w:pPr>
        <w:wordWrap/>
        <w:spacing w:beforeLines="0" w:before="100" w:beforeAutospacing="1" w:afterLines="0" w:after="100" w:afterAutospacing="1" w:line="280" w:lineRule="atLeast"/>
        <w:ind w:leftChars="0" w:left="0" w:rightChars="0" w:right="0"/>
        <w:mirrorIndents w:val="0"/>
        <w:jc w:val="left"/>
        <w:outlineLvl w:val="9"/>
      </w:pPr>
      <w:rPr>
        <w:b/>
        <w:bCs/>
      </w:rPr>
      <w:tblPr/>
      <w:tcPr>
        <w:shd w:val="clear" w:color="auto" w:fill="23305D"/>
      </w:tcPr>
    </w:tblStylePr>
    <w:tblStylePr w:type="lastRow">
      <w:rPr>
        <w:b/>
        <w:bCs/>
      </w:rPr>
      <w:tblPr/>
      <w:tcPr>
        <w:tcBorders>
          <w:top w:val="double" w:sz="2" w:space="0" w:color="7C7C7C"/>
        </w:tcBorders>
      </w:tcPr>
    </w:tblStylePr>
    <w:tblStylePr w:type="firstCol">
      <w:pPr>
        <w:wordWrap/>
        <w:spacing w:beforeLines="0" w:before="100" w:beforeAutospacing="1" w:afterLines="0" w:after="100" w:afterAutospacing="1" w:line="280" w:lineRule="atLeast"/>
        <w:mirrorIndents w:val="0"/>
      </w:pPr>
      <w:rPr>
        <w:b/>
        <w:bCs/>
      </w:rPr>
    </w:tblStylePr>
    <w:tblStylePr w:type="lastCol">
      <w:rPr>
        <w:b/>
        <w:bCs/>
      </w:rPr>
    </w:tblStylePr>
    <w:tblStylePr w:type="band1Horz">
      <w:pPr>
        <w:wordWrap/>
        <w:spacing w:beforeLines="0" w:before="100" w:beforeAutospacing="1" w:afterLines="0" w:after="100" w:afterAutospacing="1" w:line="280" w:lineRule="atLeast"/>
        <w:mirrorIndents w:val="0"/>
      </w:pPr>
    </w:tblStylePr>
    <w:tblStylePr w:type="band2Horz">
      <w:pPr>
        <w:wordWrap/>
        <w:spacing w:beforeLines="0" w:before="100" w:beforeAutospacing="1" w:afterLines="0" w:after="100" w:afterAutospacing="1" w:line="280" w:lineRule="atLeast"/>
        <w:mirrorIndents w:val="0"/>
      </w:pPr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Company>HP Inc.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Neems</dc:creator>
  <cp:keywords/>
  <dc:description/>
  <cp:lastModifiedBy>Sue Neems</cp:lastModifiedBy>
  <cp:revision>1</cp:revision>
  <dcterms:created xsi:type="dcterms:W3CDTF">2021-11-09T02:22:00Z</dcterms:created>
  <dcterms:modified xsi:type="dcterms:W3CDTF">2021-11-09T02:24:00Z</dcterms:modified>
</cp:coreProperties>
</file>