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23" w:rsidRPr="00FD651A" w:rsidRDefault="000B5951">
      <w:pPr>
        <w:rPr>
          <w:b/>
          <w:sz w:val="96"/>
          <w:szCs w:val="96"/>
        </w:rPr>
      </w:pPr>
      <w:r w:rsidRPr="00FD651A">
        <w:rPr>
          <w:b/>
          <w:sz w:val="96"/>
          <w:szCs w:val="96"/>
        </w:rPr>
        <w:t>Travel Health Advice</w:t>
      </w:r>
    </w:p>
    <w:p w:rsidR="000B5951" w:rsidRDefault="000B5951">
      <w:r>
        <w:t>Before heading overseas on your travel adventure we recommend travellers to make an appointment with their doctor to discuss how to remain healthy whilst away. Please allow</w:t>
      </w:r>
      <w:r w:rsidR="009B70D1">
        <w:t xml:space="preserve"> 6-8 </w:t>
      </w:r>
      <w:r w:rsidR="00904C2C">
        <w:t>weeks before</w:t>
      </w:r>
      <w:r>
        <w:t xml:space="preserve"> your travel as in some cases we may need you to have a blood test prior to travel and also to allow for the vaccinations to be most effective for your protection whilst travelling. </w:t>
      </w:r>
    </w:p>
    <w:p w:rsidR="000B5951" w:rsidRDefault="000B5951">
      <w:r>
        <w:t xml:space="preserve">Our Nurses are trained vaccinators and can administer the common vaccinations including: Hepatitis A, Hepatitis B, </w:t>
      </w:r>
      <w:r w:rsidR="009735D8">
        <w:t>Diphtheria</w:t>
      </w:r>
      <w:r>
        <w:t xml:space="preserve">, </w:t>
      </w:r>
      <w:r w:rsidR="009735D8">
        <w:t>Tetanus</w:t>
      </w:r>
      <w:r>
        <w:t xml:space="preserve">, Pertussis, Typhoid, Polio, Influenza, MMR and Meningitis as required based on your travel. Our Doctors are able to </w:t>
      </w:r>
      <w:r w:rsidR="007E2EE5">
        <w:t>prescribe malaria prevention and travel medications where necessary.</w:t>
      </w:r>
    </w:p>
    <w:p w:rsidR="003317F9" w:rsidRDefault="003317F9" w:rsidP="003317F9">
      <w:pPr>
        <w:spacing w:after="0"/>
        <w:rPr>
          <w:b/>
        </w:rPr>
      </w:pPr>
      <w:r w:rsidRPr="003317F9">
        <w:rPr>
          <w:b/>
        </w:rPr>
        <w:t>Each member of the family requires a doctor appointment for travel consultation.</w:t>
      </w:r>
    </w:p>
    <w:p w:rsidR="00784554" w:rsidRPr="003317F9" w:rsidRDefault="00784554" w:rsidP="003317F9">
      <w:pPr>
        <w:spacing w:after="0"/>
        <w:rPr>
          <w:b/>
        </w:rPr>
      </w:pPr>
      <w:r>
        <w:rPr>
          <w:b/>
        </w:rPr>
        <w:t>Please note some courses of Vaccines require more than one vaccine to provide the best coverage of immunisation</w:t>
      </w:r>
    </w:p>
    <w:p w:rsidR="003317F9" w:rsidRDefault="003317F9" w:rsidP="003317F9">
      <w:pPr>
        <w:spacing w:after="0"/>
      </w:pPr>
      <w:r>
        <w:t xml:space="preserve">Please note there is a consultation charge for the doctor’s appointment and vaccination costs are additional. </w:t>
      </w:r>
    </w:p>
    <w:p w:rsidR="003317F9" w:rsidRDefault="00EA2E7B" w:rsidP="003317F9">
      <w:pPr>
        <w:spacing w:after="0"/>
      </w:pPr>
      <w:r>
        <w:t xml:space="preserve">Please book a </w:t>
      </w:r>
      <w:r w:rsidR="009735D8">
        <w:t>doctor’s</w:t>
      </w:r>
      <w:r>
        <w:t xml:space="preserve"> appointment for 15 minutes and a nurse appointment for 15 minutes to allow for the travel vaccines to be administered and please be aware that patients need to wait in the practice 20 minutes post vaccinations in case of an allergic reaction. </w:t>
      </w:r>
    </w:p>
    <w:p w:rsidR="00EA2E7B" w:rsidRDefault="00EA2E7B" w:rsidP="003317F9">
      <w:pPr>
        <w:spacing w:after="0"/>
      </w:pPr>
    </w:p>
    <w:p w:rsidR="003317F9" w:rsidRDefault="003317F9" w:rsidP="003317F9">
      <w:pPr>
        <w:spacing w:after="0"/>
      </w:pPr>
      <w:r>
        <w:t xml:space="preserve">Not all vaccines are kept in stock. We do try our best to keep hold of the commonly used vaccines for travel but in some cases we may need to order your vaccine in to the practice. </w:t>
      </w:r>
    </w:p>
    <w:p w:rsidR="003317F9" w:rsidRDefault="003317F9" w:rsidP="003317F9">
      <w:pPr>
        <w:spacing w:after="0"/>
      </w:pPr>
      <w:r>
        <w:t xml:space="preserve">Some vaccines may be required to be paid for at time of order however all vaccines need to be paid in full before being administered. </w:t>
      </w:r>
    </w:p>
    <w:p w:rsidR="00EA2E7B" w:rsidRPr="009B70D1" w:rsidRDefault="00EA2E7B" w:rsidP="003317F9">
      <w:pPr>
        <w:spacing w:after="0"/>
        <w:rPr>
          <w:b/>
        </w:rPr>
      </w:pPr>
    </w:p>
    <w:p w:rsidR="003317F9" w:rsidRPr="009B70D1" w:rsidRDefault="003317F9" w:rsidP="003317F9">
      <w:pPr>
        <w:spacing w:after="0"/>
        <w:rPr>
          <w:b/>
        </w:rPr>
      </w:pPr>
      <w:r w:rsidRPr="009B70D1">
        <w:rPr>
          <w:b/>
        </w:rPr>
        <w:t xml:space="preserve">We do not provide Yellow Fever, Japanese </w:t>
      </w:r>
      <w:r w:rsidR="009735D8" w:rsidRPr="009B70D1">
        <w:rPr>
          <w:b/>
        </w:rPr>
        <w:t>Encephalitis</w:t>
      </w:r>
      <w:r w:rsidRPr="009B70D1">
        <w:rPr>
          <w:b/>
        </w:rPr>
        <w:t xml:space="preserve">, Rabies or TB (Tuberculosis) Vaccinations. </w:t>
      </w:r>
      <w:r w:rsidR="00FD651A" w:rsidRPr="009B70D1">
        <w:rPr>
          <w:b/>
        </w:rPr>
        <w:t xml:space="preserve">If you require any of these vaccines we would recommend going and seeing a travel doctor. These are located in central </w:t>
      </w:r>
      <w:r w:rsidR="00904C2C" w:rsidRPr="009B70D1">
        <w:rPr>
          <w:b/>
        </w:rPr>
        <w:t>Auckland</w:t>
      </w:r>
      <w:r w:rsidR="00FD651A" w:rsidRPr="009B70D1">
        <w:rPr>
          <w:b/>
        </w:rPr>
        <w:t xml:space="preserve">. </w:t>
      </w:r>
    </w:p>
    <w:p w:rsidR="003317F9" w:rsidRDefault="003317F9" w:rsidP="003317F9">
      <w:pPr>
        <w:spacing w:after="0"/>
      </w:pPr>
    </w:p>
    <w:p w:rsidR="003317F9" w:rsidRDefault="003317F9" w:rsidP="003317F9">
      <w:pPr>
        <w:spacing w:after="0"/>
      </w:pPr>
      <w:r>
        <w:t>You may be interested in looking at the below websites for fu</w:t>
      </w:r>
      <w:r w:rsidR="00FD651A">
        <w:t>rther travel health information:</w:t>
      </w:r>
    </w:p>
    <w:p w:rsidR="003317F9" w:rsidRDefault="00904C2C" w:rsidP="003317F9">
      <w:pPr>
        <w:pStyle w:val="NormalWeb"/>
        <w:shd w:val="clear" w:color="auto" w:fill="FFFFFF"/>
        <w:spacing w:before="0" w:beforeAutospacing="0" w:after="150" w:afterAutospacing="0" w:line="432" w:lineRule="atLeast"/>
        <w:rPr>
          <w:rFonts w:ascii="Helvetica" w:hAnsi="Helvetica" w:cs="Helvetica"/>
          <w:color w:val="565656"/>
          <w:sz w:val="21"/>
          <w:szCs w:val="21"/>
        </w:rPr>
      </w:pPr>
      <w:hyperlink r:id="rId6" w:history="1">
        <w:r w:rsidR="003317F9">
          <w:rPr>
            <w:rStyle w:val="Hyperlink"/>
            <w:rFonts w:ascii="Helvetica" w:hAnsi="Helvetica" w:cs="Helvetica"/>
            <w:sz w:val="21"/>
            <w:szCs w:val="21"/>
            <w:u w:val="none"/>
          </w:rPr>
          <w:t>www.fitfortravel.nhs.uk</w:t>
        </w:r>
      </w:hyperlink>
    </w:p>
    <w:p w:rsidR="003317F9" w:rsidRDefault="00904C2C" w:rsidP="003317F9">
      <w:pPr>
        <w:pStyle w:val="NormalWeb"/>
        <w:shd w:val="clear" w:color="auto" w:fill="FFFFFF"/>
        <w:spacing w:before="0" w:beforeAutospacing="0" w:after="150" w:afterAutospacing="0" w:line="432" w:lineRule="atLeast"/>
        <w:rPr>
          <w:rFonts w:ascii="Helvetica" w:hAnsi="Helvetica" w:cs="Helvetica"/>
          <w:color w:val="565656"/>
          <w:sz w:val="21"/>
          <w:szCs w:val="21"/>
        </w:rPr>
      </w:pPr>
      <w:hyperlink r:id="rId7" w:history="1">
        <w:r w:rsidR="003317F9">
          <w:rPr>
            <w:rStyle w:val="Hyperlink"/>
            <w:rFonts w:ascii="Helvetica" w:hAnsi="Helvetica" w:cs="Helvetica"/>
            <w:sz w:val="21"/>
            <w:szCs w:val="21"/>
            <w:u w:val="none"/>
          </w:rPr>
          <w:t>wwwnc.cdc.gov/travel</w:t>
        </w:r>
      </w:hyperlink>
    </w:p>
    <w:p w:rsidR="003317F9" w:rsidRDefault="003317F9" w:rsidP="003317F9">
      <w:pPr>
        <w:spacing w:after="0"/>
      </w:pPr>
    </w:p>
    <w:p w:rsidR="003317F9" w:rsidRDefault="00EA2E7B">
      <w:r>
        <w:t xml:space="preserve">For further information or to book in for a travel health/ vaccination appointment please phone 09 294 3005 </w:t>
      </w:r>
      <w:r w:rsidR="009735D8">
        <w:t>ext.</w:t>
      </w:r>
      <w:r>
        <w:t xml:space="preserve"> 1 to speak with one of our Practice Nurses. </w:t>
      </w:r>
    </w:p>
    <w:p w:rsidR="003317F9" w:rsidRDefault="003317F9"/>
    <w:p w:rsidR="00763EE0" w:rsidRDefault="00763EE0"/>
    <w:p w:rsidR="00763EE0" w:rsidRDefault="00763EE0"/>
    <w:p w:rsidR="00763EE0" w:rsidRDefault="00763EE0"/>
    <w:p w:rsidR="00763EE0" w:rsidRDefault="00763EE0"/>
    <w:p w:rsidR="00763EE0" w:rsidRDefault="00763EE0"/>
    <w:p w:rsidR="00763EE0" w:rsidRDefault="00763EE0"/>
    <w:tbl>
      <w:tblPr>
        <w:tblStyle w:val="TableGrid"/>
        <w:tblW w:w="9436" w:type="dxa"/>
        <w:tblLook w:val="04A0" w:firstRow="1" w:lastRow="0" w:firstColumn="1" w:lastColumn="0" w:noHBand="0" w:noVBand="1"/>
      </w:tblPr>
      <w:tblGrid>
        <w:gridCol w:w="4718"/>
        <w:gridCol w:w="4718"/>
      </w:tblGrid>
      <w:tr w:rsidR="00763EE0" w:rsidTr="00094637">
        <w:trPr>
          <w:trHeight w:val="1124"/>
        </w:trPr>
        <w:tc>
          <w:tcPr>
            <w:tcW w:w="9436" w:type="dxa"/>
            <w:gridSpan w:val="2"/>
          </w:tcPr>
          <w:p w:rsidR="00763EE0" w:rsidRPr="00763EE0" w:rsidRDefault="00763EE0" w:rsidP="00763EE0">
            <w:pPr>
              <w:jc w:val="center"/>
              <w:rPr>
                <w:b/>
                <w:sz w:val="56"/>
                <w:szCs w:val="56"/>
              </w:rPr>
            </w:pPr>
            <w:r w:rsidRPr="00763EE0">
              <w:rPr>
                <w:b/>
                <w:sz w:val="56"/>
                <w:szCs w:val="56"/>
              </w:rPr>
              <w:t xml:space="preserve">Drury Surgery </w:t>
            </w:r>
          </w:p>
        </w:tc>
      </w:tr>
      <w:tr w:rsidR="00763EE0" w:rsidTr="00094637">
        <w:trPr>
          <w:trHeight w:val="649"/>
        </w:trPr>
        <w:tc>
          <w:tcPr>
            <w:tcW w:w="9436" w:type="dxa"/>
            <w:gridSpan w:val="2"/>
            <w:shd w:val="clear" w:color="auto" w:fill="AEAAAA" w:themeFill="background2" w:themeFillShade="BF"/>
          </w:tcPr>
          <w:p w:rsidR="00763EE0" w:rsidRPr="00763EE0" w:rsidRDefault="00763EE0">
            <w:pPr>
              <w:rPr>
                <w:b/>
                <w:sz w:val="32"/>
                <w:szCs w:val="32"/>
                <w:highlight w:val="lightGray"/>
              </w:rPr>
            </w:pPr>
            <w:r w:rsidRPr="00763EE0">
              <w:rPr>
                <w:b/>
                <w:sz w:val="32"/>
                <w:szCs w:val="32"/>
              </w:rPr>
              <w:t>Consultation</w:t>
            </w:r>
          </w:p>
        </w:tc>
      </w:tr>
      <w:tr w:rsidR="00763EE0" w:rsidTr="00094637">
        <w:trPr>
          <w:trHeight w:val="449"/>
        </w:trPr>
        <w:tc>
          <w:tcPr>
            <w:tcW w:w="4718" w:type="dxa"/>
          </w:tcPr>
          <w:p w:rsidR="00763EE0" w:rsidRDefault="00763EE0">
            <w:r>
              <w:t xml:space="preserve">&lt; 13years of age </w:t>
            </w:r>
          </w:p>
        </w:tc>
        <w:tc>
          <w:tcPr>
            <w:tcW w:w="4718" w:type="dxa"/>
          </w:tcPr>
          <w:p w:rsidR="00763EE0" w:rsidRDefault="00763EE0">
            <w:r>
              <w:t>No charge</w:t>
            </w:r>
          </w:p>
        </w:tc>
      </w:tr>
      <w:tr w:rsidR="00763EE0" w:rsidTr="00094637">
        <w:trPr>
          <w:trHeight w:val="424"/>
        </w:trPr>
        <w:tc>
          <w:tcPr>
            <w:tcW w:w="4718" w:type="dxa"/>
          </w:tcPr>
          <w:p w:rsidR="00763EE0" w:rsidRDefault="00763EE0">
            <w:r>
              <w:t xml:space="preserve">13yrs- 17yrs </w:t>
            </w:r>
          </w:p>
        </w:tc>
        <w:tc>
          <w:tcPr>
            <w:tcW w:w="4718" w:type="dxa"/>
          </w:tcPr>
          <w:p w:rsidR="00763EE0" w:rsidRDefault="00763EE0">
            <w:r>
              <w:t>$34</w:t>
            </w:r>
          </w:p>
        </w:tc>
      </w:tr>
      <w:tr w:rsidR="00763EE0" w:rsidTr="00094637">
        <w:trPr>
          <w:trHeight w:val="449"/>
        </w:trPr>
        <w:tc>
          <w:tcPr>
            <w:tcW w:w="4718" w:type="dxa"/>
          </w:tcPr>
          <w:p w:rsidR="00763EE0" w:rsidRDefault="00763EE0">
            <w:r>
              <w:t>18yrs- 24yrs</w:t>
            </w:r>
          </w:p>
        </w:tc>
        <w:tc>
          <w:tcPr>
            <w:tcW w:w="4718" w:type="dxa"/>
          </w:tcPr>
          <w:p w:rsidR="00763EE0" w:rsidRDefault="00763EE0">
            <w:r>
              <w:t>$39</w:t>
            </w:r>
          </w:p>
        </w:tc>
      </w:tr>
      <w:tr w:rsidR="00763EE0" w:rsidTr="00094637">
        <w:trPr>
          <w:trHeight w:val="424"/>
        </w:trPr>
        <w:tc>
          <w:tcPr>
            <w:tcW w:w="4718" w:type="dxa"/>
          </w:tcPr>
          <w:p w:rsidR="00763EE0" w:rsidRDefault="00763EE0">
            <w:r>
              <w:t>25yrs +</w:t>
            </w:r>
          </w:p>
        </w:tc>
        <w:tc>
          <w:tcPr>
            <w:tcW w:w="4718" w:type="dxa"/>
          </w:tcPr>
          <w:p w:rsidR="00763EE0" w:rsidRDefault="00763EE0">
            <w:r>
              <w:t>$40</w:t>
            </w:r>
          </w:p>
        </w:tc>
      </w:tr>
      <w:tr w:rsidR="00763EE0" w:rsidTr="00094637">
        <w:trPr>
          <w:trHeight w:val="649"/>
        </w:trPr>
        <w:tc>
          <w:tcPr>
            <w:tcW w:w="9436" w:type="dxa"/>
            <w:gridSpan w:val="2"/>
            <w:shd w:val="clear" w:color="auto" w:fill="AEAAAA" w:themeFill="background2" w:themeFillShade="BF"/>
          </w:tcPr>
          <w:p w:rsidR="00763EE0" w:rsidRPr="00763EE0" w:rsidRDefault="00763EE0">
            <w:pPr>
              <w:rPr>
                <w:b/>
                <w:sz w:val="32"/>
                <w:szCs w:val="32"/>
              </w:rPr>
            </w:pPr>
            <w:r w:rsidRPr="00763EE0">
              <w:rPr>
                <w:b/>
                <w:sz w:val="32"/>
                <w:szCs w:val="32"/>
              </w:rPr>
              <w:t xml:space="preserve">Vaccinations </w:t>
            </w:r>
          </w:p>
        </w:tc>
      </w:tr>
      <w:tr w:rsidR="00763EE0" w:rsidTr="00094637">
        <w:trPr>
          <w:trHeight w:val="449"/>
        </w:trPr>
        <w:tc>
          <w:tcPr>
            <w:tcW w:w="4718" w:type="dxa"/>
          </w:tcPr>
          <w:p w:rsidR="00763EE0" w:rsidRDefault="00F0279F">
            <w:r>
              <w:t>Hep A &amp; Hep B junior ( 1-15 years)</w:t>
            </w:r>
          </w:p>
        </w:tc>
        <w:tc>
          <w:tcPr>
            <w:tcW w:w="4718" w:type="dxa"/>
          </w:tcPr>
          <w:p w:rsidR="00763EE0" w:rsidRDefault="00F0279F">
            <w:r>
              <w:t>$70.50</w:t>
            </w:r>
          </w:p>
        </w:tc>
      </w:tr>
      <w:tr w:rsidR="00F0279F" w:rsidTr="00094637">
        <w:trPr>
          <w:trHeight w:val="424"/>
        </w:trPr>
        <w:tc>
          <w:tcPr>
            <w:tcW w:w="4718" w:type="dxa"/>
          </w:tcPr>
          <w:p w:rsidR="00F0279F" w:rsidRDefault="00F0279F">
            <w:r>
              <w:t>Hep A &amp; Hep B Adult 16yrs +</w:t>
            </w:r>
          </w:p>
        </w:tc>
        <w:tc>
          <w:tcPr>
            <w:tcW w:w="4718" w:type="dxa"/>
          </w:tcPr>
          <w:p w:rsidR="00F0279F" w:rsidRDefault="00F0279F">
            <w:r>
              <w:t>$ 109</w:t>
            </w:r>
          </w:p>
        </w:tc>
      </w:tr>
      <w:tr w:rsidR="00F0279F" w:rsidTr="00094637">
        <w:trPr>
          <w:trHeight w:val="449"/>
        </w:trPr>
        <w:tc>
          <w:tcPr>
            <w:tcW w:w="4718" w:type="dxa"/>
          </w:tcPr>
          <w:p w:rsidR="00F0279F" w:rsidRDefault="00F0279F">
            <w:r>
              <w:t xml:space="preserve">Hepatitis B Adult </w:t>
            </w:r>
          </w:p>
        </w:tc>
        <w:tc>
          <w:tcPr>
            <w:tcW w:w="4718" w:type="dxa"/>
          </w:tcPr>
          <w:p w:rsidR="00F0279F" w:rsidRDefault="00F0279F">
            <w:r>
              <w:t>$47</w:t>
            </w:r>
          </w:p>
        </w:tc>
      </w:tr>
      <w:tr w:rsidR="00F0279F" w:rsidTr="00094637">
        <w:trPr>
          <w:trHeight w:val="424"/>
        </w:trPr>
        <w:tc>
          <w:tcPr>
            <w:tcW w:w="4718" w:type="dxa"/>
          </w:tcPr>
          <w:p w:rsidR="00F0279F" w:rsidRDefault="00862DCB">
            <w:r>
              <w:t>Vivaxim ( Combined Hepatitis A &amp; Typhoid)</w:t>
            </w:r>
          </w:p>
        </w:tc>
        <w:tc>
          <w:tcPr>
            <w:tcW w:w="4718" w:type="dxa"/>
          </w:tcPr>
          <w:p w:rsidR="00F0279F" w:rsidRDefault="00862DCB">
            <w:r>
              <w:t>$ 165.50</w:t>
            </w:r>
          </w:p>
        </w:tc>
      </w:tr>
      <w:tr w:rsidR="00862DCB" w:rsidTr="00094637">
        <w:trPr>
          <w:trHeight w:val="449"/>
        </w:trPr>
        <w:tc>
          <w:tcPr>
            <w:tcW w:w="4718" w:type="dxa"/>
          </w:tcPr>
          <w:p w:rsidR="00862DCB" w:rsidRDefault="00862DCB">
            <w:r>
              <w:t xml:space="preserve">Hep A- adult (16yrs +) </w:t>
            </w:r>
          </w:p>
        </w:tc>
        <w:tc>
          <w:tcPr>
            <w:tcW w:w="4718" w:type="dxa"/>
          </w:tcPr>
          <w:p w:rsidR="00862DCB" w:rsidRDefault="00862DCB">
            <w:r>
              <w:t>$104.50</w:t>
            </w:r>
          </w:p>
        </w:tc>
      </w:tr>
      <w:tr w:rsidR="00862DCB" w:rsidTr="00094637">
        <w:trPr>
          <w:trHeight w:val="424"/>
        </w:trPr>
        <w:tc>
          <w:tcPr>
            <w:tcW w:w="4718" w:type="dxa"/>
          </w:tcPr>
          <w:p w:rsidR="00862DCB" w:rsidRDefault="00862DCB">
            <w:r>
              <w:t>Hep A- Child (1-15years)</w:t>
            </w:r>
          </w:p>
        </w:tc>
        <w:tc>
          <w:tcPr>
            <w:tcW w:w="4718" w:type="dxa"/>
          </w:tcPr>
          <w:p w:rsidR="00862DCB" w:rsidRDefault="00862DCB">
            <w:r>
              <w:t>$70.50</w:t>
            </w:r>
          </w:p>
        </w:tc>
      </w:tr>
      <w:tr w:rsidR="00862DCB" w:rsidTr="00094637">
        <w:trPr>
          <w:trHeight w:val="449"/>
        </w:trPr>
        <w:tc>
          <w:tcPr>
            <w:tcW w:w="4718" w:type="dxa"/>
          </w:tcPr>
          <w:p w:rsidR="00862DCB" w:rsidRDefault="00784554">
            <w:r>
              <w:t xml:space="preserve">Typhoid </w:t>
            </w:r>
          </w:p>
        </w:tc>
        <w:tc>
          <w:tcPr>
            <w:tcW w:w="4718" w:type="dxa"/>
          </w:tcPr>
          <w:p w:rsidR="00862DCB" w:rsidRDefault="00784554">
            <w:r>
              <w:t>$74</w:t>
            </w:r>
          </w:p>
        </w:tc>
      </w:tr>
      <w:tr w:rsidR="00784554" w:rsidTr="00094637">
        <w:trPr>
          <w:trHeight w:val="449"/>
        </w:trPr>
        <w:tc>
          <w:tcPr>
            <w:tcW w:w="4718" w:type="dxa"/>
          </w:tcPr>
          <w:p w:rsidR="00784554" w:rsidRDefault="00784554">
            <w:r>
              <w:t>Meningococcal</w:t>
            </w:r>
          </w:p>
        </w:tc>
        <w:tc>
          <w:tcPr>
            <w:tcW w:w="4718" w:type="dxa"/>
          </w:tcPr>
          <w:p w:rsidR="00784554" w:rsidRDefault="00784554">
            <w:r>
              <w:t>$155</w:t>
            </w:r>
          </w:p>
        </w:tc>
      </w:tr>
      <w:tr w:rsidR="00784554" w:rsidTr="00094637">
        <w:trPr>
          <w:trHeight w:val="424"/>
        </w:trPr>
        <w:tc>
          <w:tcPr>
            <w:tcW w:w="4718" w:type="dxa"/>
          </w:tcPr>
          <w:p w:rsidR="00784554" w:rsidRDefault="00784554">
            <w:r>
              <w:t>Combined Diphtheria, Tetanus, Pertussis</w:t>
            </w:r>
          </w:p>
        </w:tc>
        <w:tc>
          <w:tcPr>
            <w:tcW w:w="4718" w:type="dxa"/>
          </w:tcPr>
          <w:p w:rsidR="00784554" w:rsidRDefault="00784554">
            <w:r>
              <w:t>$55.50</w:t>
            </w:r>
          </w:p>
        </w:tc>
      </w:tr>
      <w:tr w:rsidR="00784554" w:rsidTr="00094637">
        <w:trPr>
          <w:trHeight w:val="449"/>
        </w:trPr>
        <w:tc>
          <w:tcPr>
            <w:tcW w:w="4718" w:type="dxa"/>
          </w:tcPr>
          <w:p w:rsidR="00784554" w:rsidRDefault="00784554">
            <w:r>
              <w:t>Chickenpox</w:t>
            </w:r>
          </w:p>
        </w:tc>
        <w:tc>
          <w:tcPr>
            <w:tcW w:w="4718" w:type="dxa"/>
          </w:tcPr>
          <w:p w:rsidR="00784554" w:rsidRDefault="00784554">
            <w:r>
              <w:t>$ 93.50</w:t>
            </w:r>
          </w:p>
        </w:tc>
      </w:tr>
      <w:tr w:rsidR="00784554" w:rsidTr="00094637">
        <w:trPr>
          <w:trHeight w:val="424"/>
        </w:trPr>
        <w:tc>
          <w:tcPr>
            <w:tcW w:w="4718" w:type="dxa"/>
          </w:tcPr>
          <w:p w:rsidR="00784554" w:rsidRDefault="00094637">
            <w:r>
              <w:t>Influenza</w:t>
            </w:r>
          </w:p>
        </w:tc>
        <w:tc>
          <w:tcPr>
            <w:tcW w:w="4718" w:type="dxa"/>
          </w:tcPr>
          <w:p w:rsidR="00784554" w:rsidRDefault="00784554" w:rsidP="00784554">
            <w:r>
              <w:t>$31 (subject to change)</w:t>
            </w:r>
          </w:p>
        </w:tc>
      </w:tr>
      <w:tr w:rsidR="00784554" w:rsidTr="00094637">
        <w:trPr>
          <w:trHeight w:val="449"/>
        </w:trPr>
        <w:tc>
          <w:tcPr>
            <w:tcW w:w="4718" w:type="dxa"/>
          </w:tcPr>
          <w:p w:rsidR="00784554" w:rsidRDefault="009735D8">
            <w:r>
              <w:t>Diphtheria</w:t>
            </w:r>
            <w:r w:rsidR="00094637">
              <w:t xml:space="preserve"> and Tetanus</w:t>
            </w:r>
          </w:p>
        </w:tc>
        <w:tc>
          <w:tcPr>
            <w:tcW w:w="4718" w:type="dxa"/>
          </w:tcPr>
          <w:p w:rsidR="00784554" w:rsidRDefault="00094637">
            <w:r>
              <w:t>$43</w:t>
            </w:r>
          </w:p>
        </w:tc>
      </w:tr>
      <w:tr w:rsidR="00094637" w:rsidTr="00094637">
        <w:trPr>
          <w:trHeight w:val="424"/>
        </w:trPr>
        <w:tc>
          <w:tcPr>
            <w:tcW w:w="4718" w:type="dxa"/>
          </w:tcPr>
          <w:p w:rsidR="00094637" w:rsidRDefault="00094637">
            <w:r>
              <w:t>Polio</w:t>
            </w:r>
          </w:p>
        </w:tc>
        <w:tc>
          <w:tcPr>
            <w:tcW w:w="4718" w:type="dxa"/>
          </w:tcPr>
          <w:p w:rsidR="00094637" w:rsidRDefault="00094637">
            <w:r>
              <w:t>$78.50</w:t>
            </w:r>
          </w:p>
        </w:tc>
      </w:tr>
      <w:tr w:rsidR="00094637" w:rsidTr="00094637">
        <w:trPr>
          <w:trHeight w:val="449"/>
        </w:trPr>
        <w:tc>
          <w:tcPr>
            <w:tcW w:w="4718" w:type="dxa"/>
          </w:tcPr>
          <w:p w:rsidR="00094637" w:rsidRDefault="00094637">
            <w:r>
              <w:t>Dukarol (Cholera)</w:t>
            </w:r>
          </w:p>
        </w:tc>
        <w:tc>
          <w:tcPr>
            <w:tcW w:w="4718" w:type="dxa"/>
          </w:tcPr>
          <w:p w:rsidR="00094637" w:rsidRDefault="00094637">
            <w:r>
              <w:t>$ 76</w:t>
            </w:r>
          </w:p>
        </w:tc>
      </w:tr>
      <w:tr w:rsidR="00094637" w:rsidTr="00094637">
        <w:trPr>
          <w:trHeight w:val="424"/>
        </w:trPr>
        <w:tc>
          <w:tcPr>
            <w:tcW w:w="4718" w:type="dxa"/>
          </w:tcPr>
          <w:p w:rsidR="00094637" w:rsidRDefault="00094637">
            <w:r>
              <w:t>Zostavax (Shingles)</w:t>
            </w:r>
          </w:p>
        </w:tc>
        <w:tc>
          <w:tcPr>
            <w:tcW w:w="4718" w:type="dxa"/>
          </w:tcPr>
          <w:p w:rsidR="00094637" w:rsidRDefault="00094637">
            <w:r>
              <w:t>$215</w:t>
            </w:r>
          </w:p>
        </w:tc>
      </w:tr>
      <w:tr w:rsidR="00094637" w:rsidTr="00094637">
        <w:trPr>
          <w:trHeight w:val="449"/>
        </w:trPr>
        <w:tc>
          <w:tcPr>
            <w:tcW w:w="4718" w:type="dxa"/>
          </w:tcPr>
          <w:p w:rsidR="00094637" w:rsidRDefault="00094637">
            <w:r>
              <w:t>Malarone tablets 12 pack (Adults)</w:t>
            </w:r>
          </w:p>
        </w:tc>
        <w:tc>
          <w:tcPr>
            <w:tcW w:w="4718" w:type="dxa"/>
          </w:tcPr>
          <w:p w:rsidR="00094637" w:rsidRDefault="00094637">
            <w:r>
              <w:t>$115</w:t>
            </w:r>
          </w:p>
        </w:tc>
      </w:tr>
      <w:tr w:rsidR="00094637" w:rsidTr="00094637">
        <w:trPr>
          <w:trHeight w:val="424"/>
        </w:trPr>
        <w:tc>
          <w:tcPr>
            <w:tcW w:w="4718" w:type="dxa"/>
          </w:tcPr>
          <w:p w:rsidR="00094637" w:rsidRDefault="00094637">
            <w:r>
              <w:t>Malarone tablets 12 pack (Junior)</w:t>
            </w:r>
          </w:p>
        </w:tc>
        <w:tc>
          <w:tcPr>
            <w:tcW w:w="4718" w:type="dxa"/>
          </w:tcPr>
          <w:p w:rsidR="00094637" w:rsidRDefault="00094637">
            <w:r>
              <w:t>$55.50</w:t>
            </w:r>
          </w:p>
        </w:tc>
      </w:tr>
    </w:tbl>
    <w:p w:rsidR="00763EE0" w:rsidRDefault="00763EE0"/>
    <w:p w:rsidR="00763EE0" w:rsidRDefault="00094637">
      <w:r w:rsidRPr="00094637">
        <w:rPr>
          <w:i/>
        </w:rPr>
        <w:t>Prices are effective from November 2017. Prices include GST</w:t>
      </w:r>
      <w:r w:rsidR="00904C2C">
        <w:rPr>
          <w:i/>
        </w:rPr>
        <w:t xml:space="preserve">. </w:t>
      </w:r>
      <w:r w:rsidRPr="00094637">
        <w:rPr>
          <w:i/>
        </w:rPr>
        <w:t xml:space="preserve"> </w:t>
      </w:r>
      <w:r w:rsidR="00904C2C">
        <w:rPr>
          <w:i/>
        </w:rPr>
        <w:t>Prices are</w:t>
      </w:r>
      <w:r w:rsidRPr="00094637">
        <w:rPr>
          <w:i/>
        </w:rPr>
        <w:t xml:space="preserve"> subject to change. </w:t>
      </w:r>
    </w:p>
    <w:p w:rsidR="00763EE0" w:rsidRDefault="00763EE0">
      <w:bookmarkStart w:id="0" w:name="_GoBack"/>
      <w:bookmarkEnd w:id="0"/>
    </w:p>
    <w:sectPr w:rsidR="00763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A09"/>
    <w:multiLevelType w:val="hybridMultilevel"/>
    <w:tmpl w:val="F3BACD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51"/>
    <w:rsid w:val="00094637"/>
    <w:rsid w:val="000B5951"/>
    <w:rsid w:val="003317F9"/>
    <w:rsid w:val="00356C55"/>
    <w:rsid w:val="00763EE0"/>
    <w:rsid w:val="00784554"/>
    <w:rsid w:val="007E2EE5"/>
    <w:rsid w:val="00862DCB"/>
    <w:rsid w:val="00904C2C"/>
    <w:rsid w:val="009735D8"/>
    <w:rsid w:val="009B70D1"/>
    <w:rsid w:val="00EA2E7B"/>
    <w:rsid w:val="00F0279F"/>
    <w:rsid w:val="00F61723"/>
    <w:rsid w:val="00FC1925"/>
    <w:rsid w:val="00FD65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7F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3317F9"/>
    <w:rPr>
      <w:color w:val="0000FF"/>
      <w:u w:val="single"/>
    </w:rPr>
  </w:style>
  <w:style w:type="paragraph" w:styleId="BalloonText">
    <w:name w:val="Balloon Text"/>
    <w:basedOn w:val="Normal"/>
    <w:link w:val="BalloonTextChar"/>
    <w:uiPriority w:val="99"/>
    <w:semiHidden/>
    <w:unhideWhenUsed/>
    <w:rsid w:val="00EA2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7B"/>
    <w:rPr>
      <w:rFonts w:ascii="Segoe UI" w:hAnsi="Segoe UI" w:cs="Segoe UI"/>
      <w:sz w:val="18"/>
      <w:szCs w:val="18"/>
    </w:rPr>
  </w:style>
  <w:style w:type="table" w:styleId="TableGrid">
    <w:name w:val="Table Grid"/>
    <w:basedOn w:val="TableNormal"/>
    <w:uiPriority w:val="39"/>
    <w:rsid w:val="00763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7F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3317F9"/>
    <w:rPr>
      <w:color w:val="0000FF"/>
      <w:u w:val="single"/>
    </w:rPr>
  </w:style>
  <w:style w:type="paragraph" w:styleId="BalloonText">
    <w:name w:val="Balloon Text"/>
    <w:basedOn w:val="Normal"/>
    <w:link w:val="BalloonTextChar"/>
    <w:uiPriority w:val="99"/>
    <w:semiHidden/>
    <w:unhideWhenUsed/>
    <w:rsid w:val="00EA2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7B"/>
    <w:rPr>
      <w:rFonts w:ascii="Segoe UI" w:hAnsi="Segoe UI" w:cs="Segoe UI"/>
      <w:sz w:val="18"/>
      <w:szCs w:val="18"/>
    </w:rPr>
  </w:style>
  <w:style w:type="table" w:styleId="TableGrid">
    <w:name w:val="Table Grid"/>
    <w:basedOn w:val="TableNormal"/>
    <w:uiPriority w:val="39"/>
    <w:rsid w:val="00763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3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tfortravel.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tfortravel.nhs.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Sue Neems</cp:lastModifiedBy>
  <cp:revision>2</cp:revision>
  <cp:lastPrinted>2017-11-16T22:43:00Z</cp:lastPrinted>
  <dcterms:created xsi:type="dcterms:W3CDTF">2017-11-19T20:06:00Z</dcterms:created>
  <dcterms:modified xsi:type="dcterms:W3CDTF">2017-11-19T20:06:00Z</dcterms:modified>
</cp:coreProperties>
</file>